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-4" w:type="dxa"/>
        <w:tblLook w:val="04A0"/>
      </w:tblPr>
      <w:tblGrid>
        <w:gridCol w:w="709"/>
        <w:gridCol w:w="7404"/>
        <w:gridCol w:w="265"/>
        <w:gridCol w:w="1264"/>
      </w:tblGrid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bookmarkStart w:id="0" w:name="OLE_LINK59"/>
            <w:r>
              <w:rPr>
                <w:b/>
                <w:bCs/>
                <w:sz w:val="20"/>
                <w:szCs w:val="20"/>
              </w:rPr>
              <w:t>The Relationship between Power Bases of Sports Federations’ Presidents with Employees Job Performance and Job Satisfaction</w:t>
            </w:r>
            <w:bookmarkEnd w:id="0"/>
          </w:p>
          <w:p w:rsidR="00F86B15" w:rsidRDefault="00F86B15" w:rsidP="00F86B15">
            <w:pPr>
              <w:jc w:val="both"/>
            </w:pPr>
            <w:bookmarkStart w:id="1" w:name="OLE_LINK1420"/>
            <w:r>
              <w:rPr>
                <w:sz w:val="20"/>
                <w:szCs w:val="20"/>
              </w:rPr>
              <w:t>Tahereh Nedaee, Khalil AlaviSeyedeh Farideh Hadavi, Lila Sabbaghian Rad</w:t>
            </w:r>
            <w:bookmarkEnd w:id="1"/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color w:val="000000"/>
                <w:sz w:val="20"/>
              </w:rPr>
              <w:t>2617-2624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pStyle w:val="1"/>
              <w:jc w:val="both"/>
              <w:outlineLvl w:val="0"/>
              <w:rPr>
                <w:rFonts w:eastAsia="Times New Roman"/>
              </w:rPr>
            </w:pPr>
            <w:bookmarkStart w:id="2" w:name="OLE_LINK1422"/>
            <w:r>
              <w:rPr>
                <w:rFonts w:eastAsia="Times New Roman"/>
                <w:sz w:val="20"/>
                <w:szCs w:val="20"/>
              </w:rPr>
              <w:t>The Study of Factors Pertaining to Administrators' Empowerment Kaleibar schools, Iran</w:t>
            </w:r>
            <w:bookmarkEnd w:id="2"/>
          </w:p>
          <w:p w:rsidR="00F86B15" w:rsidRDefault="00F86B15" w:rsidP="00F86B15">
            <w:pPr>
              <w:jc w:val="both"/>
            </w:pPr>
            <w:bookmarkStart w:id="3" w:name="OLE_LINK1423"/>
            <w:r>
              <w:rPr>
                <w:sz w:val="20"/>
                <w:szCs w:val="20"/>
              </w:rPr>
              <w:t>Sadegh Maleki Avarsin and Habibeh Najafi Kaleybar</w:t>
            </w:r>
            <w:bookmarkEnd w:id="3"/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2625-2629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bookmarkStart w:id="4" w:name="OLE_LINK1425"/>
            <w:r>
              <w:rPr>
                <w:b/>
                <w:bCs/>
                <w:sz w:val="20"/>
                <w:szCs w:val="20"/>
              </w:rPr>
              <w:t>Relationship between Manufacturer Product Strategies and Supply Chain Inventory in a Company</w:t>
            </w:r>
            <w:bookmarkEnd w:id="4"/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>Jafari Ali, Rasouli Dizaji Mohammad, Komari Alaie Mohammad Reza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2630-2638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t>Expert System for Offline Clinical Guidelines and Treatment</w:t>
            </w:r>
          </w:p>
          <w:p w:rsidR="00F86B15" w:rsidRDefault="00F86B15" w:rsidP="00F86B15">
            <w:pPr>
              <w:jc w:val="both"/>
            </w:pPr>
            <w:bookmarkStart w:id="5" w:name="OLE_LINK2087"/>
            <w:r>
              <w:rPr>
                <w:sz w:val="20"/>
                <w:szCs w:val="20"/>
                <w:lang w:val="en-GB"/>
              </w:rPr>
              <w:t>Tanzila Saba, Saleh Al-Zahrani and Amjad Rehman</w:t>
            </w:r>
            <w:bookmarkEnd w:id="5"/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  <w:lang w:val="en-GB"/>
              </w:rPr>
              <w:t>2639-2658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bookmarkStart w:id="6" w:name="OLE_LINK1430"/>
            <w:r>
              <w:rPr>
                <w:b/>
                <w:bCs/>
                <w:sz w:val="20"/>
                <w:szCs w:val="20"/>
              </w:rPr>
              <w:t>Collapse of Authenticity of Artistic Work</w:t>
            </w:r>
            <w:bookmarkEnd w:id="6"/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>Yousef Afarini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color w:val="000000"/>
                <w:sz w:val="20"/>
                <w:szCs w:val="20"/>
              </w:rPr>
              <w:t>2659-2664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pStyle w:val="3"/>
              <w:spacing w:before="0" w:after="0" w:line="240" w:lineRule="auto"/>
              <w:jc w:val="both"/>
              <w:outlineLvl w:val="2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Partial edentulism: a five year survey on the prevalence and pattern of tooth loss in a sample of patients attending King Abdul Aziz University - Faculty of Dentistry.</w:t>
            </w:r>
          </w:p>
          <w:p w:rsidR="00F86B15" w:rsidRPr="009345E9" w:rsidRDefault="00F86B15" w:rsidP="00F86B15">
            <w:pPr>
              <w:pStyle w:val="3"/>
              <w:spacing w:before="0" w:after="0" w:line="240" w:lineRule="auto"/>
              <w:jc w:val="both"/>
              <w:outlineLvl w:val="2"/>
              <w:rPr>
                <w:rFonts w:eastAsia="Times New Roman"/>
                <w:b w:val="0"/>
              </w:rPr>
            </w:pPr>
            <w:r w:rsidRPr="009345E9">
              <w:rPr>
                <w:rFonts w:eastAsia="Times New Roman"/>
                <w:b w:val="0"/>
                <w:sz w:val="20"/>
                <w:szCs w:val="20"/>
              </w:rPr>
              <w:t>Lana A. Shinawi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rFonts w:eastAsia="Times New Roman"/>
                <w:b/>
                <w:color w:val="000000"/>
                <w:sz w:val="20"/>
                <w:szCs w:val="20"/>
              </w:rPr>
              <w:t>2665-2671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Study And Development of Governmental Services Cost Price Accounting Model in Iran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>Nasrollah Janafzae,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sz w:val="20"/>
                <w:szCs w:val="20"/>
              </w:rPr>
              <w:t>Gholam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hps"/>
                <w:sz w:val="20"/>
                <w:szCs w:val="20"/>
              </w:rPr>
              <w:t>Hossein</w:t>
            </w:r>
            <w:r>
              <w:rPr>
                <w:sz w:val="20"/>
                <w:szCs w:val="20"/>
              </w:rPr>
              <w:t xml:space="preserve"> Khorshidi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2672-2684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rStyle w:val="hps"/>
                <w:b/>
                <w:bCs/>
                <w:sz w:val="20"/>
                <w:szCs w:val="20"/>
              </w:rPr>
              <w:t xml:space="preserve">Effect of NATO </w:t>
            </w:r>
            <w:r>
              <w:rPr>
                <w:b/>
                <w:bCs/>
                <w:sz w:val="20"/>
                <w:szCs w:val="20"/>
              </w:rPr>
              <w:t>expansion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bCs/>
                <w:sz w:val="20"/>
                <w:szCs w:val="20"/>
              </w:rPr>
              <w:t>into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bCs/>
                <w:sz w:val="20"/>
                <w:szCs w:val="20"/>
              </w:rPr>
              <w:t>the Central Asia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bCs/>
                <w:sz w:val="20"/>
                <w:szCs w:val="20"/>
              </w:rPr>
              <w:t>the Caucasus and Russia's reaction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bCs/>
                <w:sz w:val="20"/>
                <w:szCs w:val="20"/>
              </w:rPr>
              <w:t>to it</w:t>
            </w:r>
          </w:p>
          <w:p w:rsidR="00F86B15" w:rsidRDefault="00F86B15" w:rsidP="00F86B15">
            <w:pPr>
              <w:jc w:val="both"/>
            </w:pPr>
            <w:r>
              <w:rPr>
                <w:rStyle w:val="yshortcuts"/>
                <w:sz w:val="20"/>
                <w:szCs w:val="20"/>
              </w:rPr>
              <w:t>Iraj Mazarei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2685-2692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Kinetic Spectrophotometric Determination of </w:t>
            </w:r>
            <w:r>
              <w:rPr>
                <w:b/>
                <w:bCs/>
                <w:sz w:val="20"/>
                <w:szCs w:val="20"/>
                <w:lang w:val="en-GB"/>
              </w:rPr>
              <w:t>Zafirlukast</w:t>
            </w:r>
            <w:r>
              <w:rPr>
                <w:b/>
                <w:bCs/>
                <w:sz w:val="20"/>
                <w:szCs w:val="20"/>
              </w:rPr>
              <w:t xml:space="preserve"> in Bulk and in Drug Formulations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  <w:lang w:val="en-GB"/>
              </w:rPr>
              <w:t>Amal Mahmoud Abou Al Alamein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2693-2701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Specifying balance in expense and time as a result of changing method of collecting and transporting rubbish at 22 districts of Tehran</w:t>
            </w:r>
          </w:p>
          <w:p w:rsidR="00F86B15" w:rsidRDefault="00F86B15" w:rsidP="00F86B15">
            <w:pPr>
              <w:autoSpaceDE w:val="0"/>
              <w:autoSpaceDN w:val="0"/>
              <w:jc w:val="both"/>
            </w:pPr>
            <w:r>
              <w:rPr>
                <w:sz w:val="20"/>
                <w:szCs w:val="20"/>
              </w:rPr>
              <w:t>Mozhgan Moharrami and Ajdar Akson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2702-2715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Effect of Biological Fertilizers on Germination Indices in Wheat Cultivars With Drought In Greenhouse</w:t>
            </w:r>
          </w:p>
          <w:p w:rsidR="00F86B15" w:rsidRDefault="00F86B15" w:rsidP="00F86B15">
            <w:pPr>
              <w:autoSpaceDE w:val="0"/>
              <w:autoSpaceDN w:val="0"/>
              <w:jc w:val="both"/>
            </w:pPr>
            <w:r>
              <w:rPr>
                <w:sz w:val="20"/>
                <w:szCs w:val="20"/>
              </w:rPr>
              <w:t>Elena Khabiri, Yousef Alaei, Seyed sajjad moosavi, Ali Mohammadpour Khanghahand Maryam Jafari</w:t>
            </w:r>
          </w:p>
          <w:p w:rsidR="00F86B15" w:rsidRDefault="00F86B15" w:rsidP="00F86B1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2716-2720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Comparison of analytical and experimental results of ductility factor in reinforced concrete structures</w:t>
            </w:r>
          </w:p>
          <w:p w:rsidR="00F86B15" w:rsidRPr="006552C1" w:rsidRDefault="00F86B15" w:rsidP="00F86B15">
            <w:pPr>
              <w:jc w:val="both"/>
            </w:pPr>
            <w:r w:rsidRPr="006552C1">
              <w:rPr>
                <w:iCs/>
                <w:color w:val="000000"/>
                <w:sz w:val="20"/>
                <w:szCs w:val="20"/>
              </w:rPr>
              <w:t>Hamid Reza Ashrafi, Hossein Behsan</w:t>
            </w:r>
            <w:r w:rsidRPr="006552C1">
              <w:rPr>
                <w:iCs/>
                <w:sz w:val="20"/>
                <w:szCs w:val="20"/>
              </w:rPr>
              <w:t xml:space="preserve"> and Neda esmaeili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2721-2734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lastRenderedPageBreak/>
              <w:t>402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A Survey of the Life and Time of Aboulkhir Khan the Shaibani as Reflected in the Moghimkhani Biographies and Sparsely in other Authentic Historical Documents</w:t>
            </w:r>
          </w:p>
          <w:p w:rsidR="00F86B15" w:rsidRDefault="00F86B15" w:rsidP="00F86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Geraili Kerapi</w:t>
            </w:r>
          </w:p>
          <w:p w:rsidR="00F86B15" w:rsidRDefault="00F86B15" w:rsidP="00F86B1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2735-2739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rStyle w:val="apple-style-span"/>
                <w:b/>
                <w:bCs/>
                <w:color w:val="111111"/>
                <w:sz w:val="20"/>
                <w:szCs w:val="20"/>
              </w:rPr>
              <w:t>Serum ferritin and iron in diabetic and non-diabetic with acute myocardial infarction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>Hamid Sharif Nia</w:t>
            </w:r>
            <w:r>
              <w:rPr>
                <w:rStyle w:val="ac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Ali Akbar Haghdoost, Yiong Huak Chan, </w:t>
            </w:r>
            <w:r>
              <w:rPr>
                <w:color w:val="000000"/>
                <w:sz w:val="20"/>
                <w:szCs w:val="20"/>
              </w:rPr>
              <w:t>Fariba Tabari</w:t>
            </w:r>
            <w:r>
              <w:rPr>
                <w:sz w:val="20"/>
                <w:szCs w:val="20"/>
              </w:rPr>
              <w:t>, Abolfazl Hashemi, Babak Alaei, Mohammad Taghi Salehi Omran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Abolghasem Siyadat Panah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Mohammad Ali </w:t>
            </w:r>
            <w:r>
              <w:rPr>
                <w:color w:val="000000"/>
                <w:sz w:val="20"/>
                <w:szCs w:val="20"/>
              </w:rPr>
              <w:t>Soleimani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2740-2745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autoSpaceDE w:val="0"/>
              <w:autoSpaceDN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Comparison effect organic humic fertilizers the dry matter maize genotypes in </w:t>
            </w:r>
            <w:r>
              <w:rPr>
                <w:b/>
                <w:bCs/>
                <w:color w:val="000000"/>
                <w:sz w:val="20"/>
                <w:szCs w:val="20"/>
              </w:rPr>
              <w:t>Ardabil region</w:t>
            </w:r>
          </w:p>
          <w:p w:rsidR="00F86B15" w:rsidRDefault="00F86B15" w:rsidP="00F86B15">
            <w:pPr>
              <w:jc w:val="both"/>
            </w:pPr>
            <w:r>
              <w:rPr>
                <w:spacing w:val="1"/>
                <w:sz w:val="20"/>
                <w:szCs w:val="20"/>
              </w:rPr>
              <w:t xml:space="preserve">Maryam Jafari, Ali Mohammadpour Khanghah, Yousef Alaei, </w:t>
            </w:r>
            <w:r>
              <w:rPr>
                <w:sz w:val="20"/>
                <w:szCs w:val="20"/>
              </w:rPr>
              <w:t>Seyed Sajjad Moosavi</w:t>
            </w:r>
            <w:r>
              <w:rPr>
                <w:spacing w:val="1"/>
                <w:sz w:val="20"/>
                <w:szCs w:val="20"/>
              </w:rPr>
              <w:t xml:space="preserve"> and Elena Khabiri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2746-2749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Pr="006552C1" w:rsidRDefault="00F86B15" w:rsidP="00F86B15">
            <w:pPr>
              <w:pStyle w:val="a7"/>
              <w:jc w:val="both"/>
            </w:pPr>
            <w:r w:rsidRPr="006552C1">
              <w:rPr>
                <w:sz w:val="20"/>
                <w:lang w:val="en-GB"/>
              </w:rPr>
              <w:t>Globalisation and Labour Supply of Single Female Heads of Households in Malaysia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  <w:lang w:val="en-GB"/>
              </w:rPr>
              <w:t>Rahmah Ismail, Poo Bee Tin</w:t>
            </w:r>
          </w:p>
          <w:p w:rsidR="00F86B15" w:rsidRDefault="00F86B15" w:rsidP="00F86B1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lang w:val="en-GB"/>
              </w:rPr>
              <w:t>2750-2759</w:t>
            </w:r>
          </w:p>
        </w:tc>
      </w:tr>
      <w:tr w:rsidR="00F86B15" w:rsidRPr="00D41F9A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autoSpaceDE w:val="0"/>
              <w:autoSpaceDN w:val="0"/>
              <w:jc w:val="both"/>
            </w:pPr>
            <w:r>
              <w:rPr>
                <w:b/>
                <w:bCs/>
                <w:sz w:val="20"/>
                <w:szCs w:val="20"/>
              </w:rPr>
              <w:t>Heteroplasmy of Leber hereditary optic neuropathy and clinical expression in Chinese pedigrees with 11778A mutation</w:t>
            </w:r>
          </w:p>
          <w:p w:rsidR="00F86B15" w:rsidRDefault="00F86B15" w:rsidP="00F86B15">
            <w:pPr>
              <w:autoSpaceDE w:val="0"/>
              <w:autoSpaceDN w:val="0"/>
              <w:jc w:val="both"/>
            </w:pPr>
            <w:r>
              <w:rPr>
                <w:sz w:val="20"/>
                <w:szCs w:val="20"/>
              </w:rPr>
              <w:t>Wen-cui Wan,</w:t>
            </w:r>
            <w:r>
              <w:rPr>
                <w:color w:val="333333"/>
                <w:sz w:val="20"/>
                <w:szCs w:val="20"/>
              </w:rPr>
              <w:t>Yu Zhu</w:t>
            </w:r>
            <w:r>
              <w:rPr>
                <w:sz w:val="20"/>
                <w:szCs w:val="20"/>
              </w:rPr>
              <w:t>, Xue-min Jin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2760-2763</w:t>
            </w:r>
          </w:p>
        </w:tc>
      </w:tr>
      <w:tr w:rsidR="00F86B15" w:rsidRPr="00EF778F" w:rsidTr="00F86B15">
        <w:trPr>
          <w:tblCellSpacing w:w="15" w:type="dxa"/>
        </w:trPr>
        <w:tc>
          <w:tcPr>
            <w:tcW w:w="664" w:type="dxa"/>
            <w:hideMark/>
          </w:tcPr>
          <w:p w:rsidR="00F86B15" w:rsidRPr="00D41F9A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B15" w:rsidRDefault="00F86B15" w:rsidP="00F86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Providing optimal model for water resources management based on trade approach in virtual water </w:t>
            </w:r>
          </w:p>
          <w:p w:rsidR="00F86B15" w:rsidRDefault="00F86B15" w:rsidP="00F86B15">
            <w:pPr>
              <w:jc w:val="both"/>
            </w:pPr>
            <w:r>
              <w:rPr>
                <w:sz w:val="20"/>
                <w:szCs w:val="20"/>
              </w:rPr>
              <w:t xml:space="preserve">Nima Tavakoli Shirazi , Gholam Hossein Akbari </w:t>
            </w:r>
          </w:p>
          <w:p w:rsidR="00F86B15" w:rsidRDefault="00F86B15" w:rsidP="00F86B15">
            <w:pPr>
              <w:jc w:val="both"/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B15" w:rsidRDefault="00F86B15" w:rsidP="00205DA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19" w:type="dxa"/>
            <w:hideMark/>
          </w:tcPr>
          <w:p w:rsidR="00F86B15" w:rsidRPr="00EF778F" w:rsidRDefault="00F86B15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F778F">
              <w:rPr>
                <w:rFonts w:hint="eastAsia"/>
                <w:b/>
                <w:sz w:val="20"/>
                <w:szCs w:val="20"/>
              </w:rPr>
              <w:t>2764-2768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82" w:rsidRDefault="00100F82" w:rsidP="00036E2F">
      <w:r>
        <w:separator/>
      </w:r>
    </w:p>
  </w:endnote>
  <w:endnote w:type="continuationSeparator" w:id="1">
    <w:p w:rsidR="00100F82" w:rsidRDefault="00100F82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0379FC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45E9" w:rsidRPr="009345E9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82" w:rsidRDefault="00100F82" w:rsidP="00036E2F">
      <w:r>
        <w:separator/>
      </w:r>
    </w:p>
  </w:footnote>
  <w:footnote w:type="continuationSeparator" w:id="1">
    <w:p w:rsidR="00100F82" w:rsidRDefault="00100F82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379FC"/>
    <w:rsid w:val="000469AA"/>
    <w:rsid w:val="000713C2"/>
    <w:rsid w:val="0009193A"/>
    <w:rsid w:val="000C7019"/>
    <w:rsid w:val="000E074C"/>
    <w:rsid w:val="000E0E33"/>
    <w:rsid w:val="000E4F3A"/>
    <w:rsid w:val="000F2277"/>
    <w:rsid w:val="00100F82"/>
    <w:rsid w:val="001C2084"/>
    <w:rsid w:val="001F0DB0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0B89"/>
    <w:rsid w:val="005C303A"/>
    <w:rsid w:val="007211E1"/>
    <w:rsid w:val="00721CD0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345E9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D727AE"/>
    <w:rsid w:val="00D933BC"/>
    <w:rsid w:val="00E711E2"/>
    <w:rsid w:val="00EB3CEB"/>
    <w:rsid w:val="00EC1978"/>
    <w:rsid w:val="00EF3EB6"/>
    <w:rsid w:val="00F43992"/>
    <w:rsid w:val="00F86B15"/>
    <w:rsid w:val="00F9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6B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customStyle="1" w:styleId="3Char">
    <w:name w:val="标题 3 Char"/>
    <w:basedOn w:val="a0"/>
    <w:link w:val="3"/>
    <w:uiPriority w:val="9"/>
    <w:semiHidden/>
    <w:rsid w:val="00F86B1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yshortcuts">
    <w:name w:val="yshortcuts"/>
    <w:basedOn w:val="a0"/>
    <w:rsid w:val="00F86B15"/>
  </w:style>
  <w:style w:type="character" w:styleId="ab">
    <w:name w:val="footnote reference"/>
    <w:basedOn w:val="a0"/>
    <w:rsid w:val="00F86B15"/>
  </w:style>
  <w:style w:type="character" w:customStyle="1" w:styleId="apple-style-span">
    <w:name w:val="apple-style-span"/>
    <w:basedOn w:val="a0"/>
    <w:rsid w:val="00F86B15"/>
  </w:style>
  <w:style w:type="character" w:styleId="ac">
    <w:name w:val="annotation reference"/>
    <w:basedOn w:val="a0"/>
    <w:rsid w:val="00F86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2611</Characters>
  <Application>Microsoft Office Word</Application>
  <DocSecurity>0</DocSecurity>
  <Lines>21</Lines>
  <Paragraphs>6</Paragraphs>
  <ScaleCrop>false</ScaleCrop>
  <Company>微软中国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2013-02-13T03:19:00Z</dcterms:created>
  <dcterms:modified xsi:type="dcterms:W3CDTF">2013-02-15T14:05:00Z</dcterms:modified>
</cp:coreProperties>
</file>