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93" w:type="dxa"/>
        <w:tblLook w:val="04A0"/>
      </w:tblPr>
      <w:tblGrid>
        <w:gridCol w:w="622"/>
        <w:gridCol w:w="7513"/>
        <w:gridCol w:w="286"/>
        <w:gridCol w:w="1146"/>
      </w:tblGrid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Variable-temperature NMR studies of 2-(pyridin-2-yl)-1H-benzo[d]imidazole</w:t>
            </w:r>
          </w:p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>AC Yeh, CY Shih, LL Lin, SJ Yang and CT Chang</w:t>
            </w:r>
            <w:r w:rsidRPr="000E174E">
              <w:rPr>
                <w:sz w:val="18"/>
                <w:szCs w:val="18"/>
              </w:rPr>
              <w:tab/>
            </w:r>
            <w:r w:rsidRPr="000E174E">
              <w:rPr>
                <w:sz w:val="18"/>
                <w:szCs w:val="18"/>
              </w:rPr>
              <w:tab/>
            </w:r>
            <w:r w:rsidRPr="000E174E">
              <w:rPr>
                <w:sz w:val="18"/>
                <w:szCs w:val="18"/>
              </w:rPr>
              <w:tab/>
            </w:r>
            <w:r w:rsidRPr="000E174E">
              <w:rPr>
                <w:sz w:val="18"/>
                <w:szCs w:val="18"/>
              </w:rPr>
              <w:tab/>
            </w:r>
            <w:r w:rsidRPr="000E174E">
              <w:rPr>
                <w:sz w:val="18"/>
                <w:szCs w:val="18"/>
              </w:rPr>
              <w:tab/>
            </w:r>
            <w:r w:rsidRPr="000E174E">
              <w:rPr>
                <w:sz w:val="18"/>
                <w:szCs w:val="18"/>
              </w:rPr>
              <w:tab/>
            </w:r>
          </w:p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hideMark/>
          </w:tcPr>
          <w:p w:rsidR="008C678E" w:rsidRPr="000E174E" w:rsidRDefault="008C678E" w:rsidP="006944DE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1-4</w:t>
            </w:r>
          </w:p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 xml:space="preserve">Reliability of Wireless Body Area Networks used for Ambulatory Monitoring and </w:t>
            </w:r>
          </w:p>
          <w:p w:rsidR="008C678E" w:rsidRPr="000E174E" w:rsidRDefault="008C678E" w:rsidP="00F9721F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0E174E">
              <w:rPr>
                <w:b/>
                <w:sz w:val="18"/>
                <w:szCs w:val="18"/>
                <w:lang w:val="pt-BR"/>
              </w:rPr>
              <w:t>Health Care</w:t>
            </w:r>
          </w:p>
          <w:p w:rsidR="008C678E" w:rsidRPr="000E174E" w:rsidRDefault="008C678E" w:rsidP="00F9721F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  <w:lang w:val="fr-FR"/>
              </w:rPr>
            </w:pPr>
            <w:r w:rsidRPr="000E174E">
              <w:rPr>
                <w:sz w:val="18"/>
                <w:szCs w:val="18"/>
                <w:lang w:val="fr-FR"/>
              </w:rPr>
              <w:t>Ali Peiravi</w:t>
            </w:r>
            <w:r w:rsidRPr="000E174E">
              <w:rPr>
                <w:sz w:val="18"/>
                <w:szCs w:val="18"/>
                <w:lang w:val="fr-FR"/>
              </w:rPr>
              <w:tab/>
            </w:r>
            <w:r w:rsidRPr="000E174E">
              <w:rPr>
                <w:sz w:val="18"/>
                <w:szCs w:val="18"/>
                <w:lang w:val="fr-FR"/>
              </w:rPr>
              <w:tab/>
            </w:r>
          </w:p>
          <w:p w:rsidR="008C678E" w:rsidRPr="000E174E" w:rsidRDefault="008C678E" w:rsidP="00F9721F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hideMark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  <w:lang w:val="pt-BR"/>
              </w:rPr>
              <w:t>5-14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Human Cranium Dynamic Analysis</w:t>
            </w:r>
          </w:p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>BW Huang, HK Kung, KY Chang, PK Hsu, JG Tseng</w:t>
            </w:r>
            <w:r w:rsidRPr="000E174E">
              <w:rPr>
                <w:sz w:val="18"/>
                <w:szCs w:val="18"/>
              </w:rPr>
              <w:tab/>
            </w:r>
            <w:r w:rsidRPr="000E174E">
              <w:rPr>
                <w:sz w:val="18"/>
                <w:szCs w:val="18"/>
              </w:rPr>
              <w:tab/>
            </w:r>
          </w:p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ab/>
            </w: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hideMark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15-22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Finite element modeling of kirschner pin and bone thermal contact during drilling</w:t>
            </w:r>
            <w:r w:rsidRPr="000E174E">
              <w:rPr>
                <w:sz w:val="18"/>
                <w:szCs w:val="18"/>
              </w:rPr>
              <w:t xml:space="preserve"> 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>YK Tu, YY Hong, YC Chen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23-27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Natural Properties in a Micro Drill Cutting into Bones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 xml:space="preserve">Chang Kuan Yu, Chang Hong Chang, Yu Pu Ping, Yen Ke Tien and Huang Bo Wun </w:t>
            </w:r>
            <w:r w:rsidRPr="000E174E">
              <w:rPr>
                <w:sz w:val="18"/>
                <w:szCs w:val="18"/>
              </w:rPr>
              <w:tab/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28-33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 xml:space="preserve">The Efficacy of Community Based Intervention in Newborn Care Practices and Neonatal Illness Management in Morang District of Nepal 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>Sirjana Khanal, WD Zhang, Sudhir Khanal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34-40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Study of Biological Effect of MC3T3-E</w:t>
            </w:r>
            <w:smartTag w:uri="urn:schemas-microsoft-com:office:smarttags" w:element="chmetcnv">
              <w:smartTagPr>
                <w:attr w:name="UnitName" w:val="in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0E174E">
                <w:rPr>
                  <w:b/>
                  <w:sz w:val="18"/>
                  <w:szCs w:val="18"/>
                </w:rPr>
                <w:t>1 in</w:t>
              </w:r>
            </w:smartTag>
            <w:r w:rsidRPr="000E174E">
              <w:rPr>
                <w:b/>
                <w:sz w:val="18"/>
                <w:szCs w:val="18"/>
              </w:rPr>
              <w:t xml:space="preserve"> vitro by A Novel 2.4GHz Radiofrequency</w:t>
            </w:r>
          </w:p>
          <w:p w:rsidR="008C678E" w:rsidRPr="000E174E" w:rsidRDefault="008C678E" w:rsidP="00F9721F">
            <w:pPr>
              <w:jc w:val="both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 xml:space="preserve"> Electromagnetic Field Exposure System  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>S Cherng, HC Teng</w:t>
            </w:r>
            <w:r w:rsidRPr="000E174E">
              <w:rPr>
                <w:sz w:val="18"/>
                <w:szCs w:val="18"/>
              </w:rPr>
              <w:tab/>
            </w:r>
            <w:r w:rsidRPr="000E174E">
              <w:rPr>
                <w:sz w:val="18"/>
                <w:szCs w:val="18"/>
              </w:rPr>
              <w:tab/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41-49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Tai chi exercise affects the isokinetic torque but not changes hamstrings:quadriceps ratios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>Yen Ke Tien and Chang Kuan Yu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bCs/>
                <w:sz w:val="18"/>
                <w:szCs w:val="18"/>
              </w:rPr>
              <w:t>50-55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 xml:space="preserve">Machiavellianism and Related Behavioral Problems in Chinese Boys with Attention </w:t>
            </w:r>
          </w:p>
          <w:p w:rsidR="008C678E" w:rsidRPr="000E174E" w:rsidRDefault="008C678E" w:rsidP="00F9721F">
            <w:pPr>
              <w:jc w:val="both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Deficit Hyperactivity Disorder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>YG Geng, DLiu, L Su, CH Wang, Y Li</w:t>
            </w:r>
            <w:r w:rsidRPr="000E174E">
              <w:rPr>
                <w:sz w:val="18"/>
                <w:szCs w:val="18"/>
              </w:rPr>
              <w:tab/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56-61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 xml:space="preserve">Synchronous TBI and ABI measurement Scheme for Diabetes Patients Synchronous </w:t>
            </w:r>
          </w:p>
          <w:p w:rsidR="008C678E" w:rsidRPr="000E174E" w:rsidRDefault="008C678E" w:rsidP="00F9721F">
            <w:pPr>
              <w:jc w:val="both"/>
              <w:rPr>
                <w:b/>
                <w:bCs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Sphygmomanometer of Four Limbs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174E">
              <w:rPr>
                <w:bCs/>
                <w:sz w:val="18"/>
                <w:szCs w:val="18"/>
              </w:rPr>
              <w:t>ST Shih</w:t>
            </w:r>
            <w:r w:rsidRPr="000E174E">
              <w:rPr>
                <w:sz w:val="18"/>
                <w:szCs w:val="18"/>
              </w:rPr>
              <w:t xml:space="preserve"> </w:t>
            </w:r>
            <w:r w:rsidRPr="000E174E">
              <w:rPr>
                <w:sz w:val="18"/>
                <w:szCs w:val="18"/>
              </w:rPr>
              <w:tab/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62-68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Study on the association of platelet membrane glycoprotein IaC807T gene polymorphism with the susceptibitity to ischemic cerebrovascular disease in Han population of Henan province.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  <w:lang w:val="pt-BR"/>
              </w:rPr>
            </w:pPr>
            <w:r w:rsidRPr="000E174E">
              <w:rPr>
                <w:sz w:val="18"/>
                <w:szCs w:val="18"/>
                <w:lang w:val="pt-BR"/>
              </w:rPr>
              <w:t>W Liu, GX Lu, YM XU, H Zhang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  <w:lang w:val="pt-BR"/>
              </w:rPr>
              <w:t>69-73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 xml:space="preserve">Self-Care Ability Development of </w:t>
            </w:r>
            <w:bookmarkStart w:id="0" w:name="OLE_LINK2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45"/>
                <w:attr w:name="UnitName" w:val="C"/>
              </w:smartTagPr>
              <w:r w:rsidRPr="000E174E">
                <w:rPr>
                  <w:b/>
                  <w:sz w:val="18"/>
                  <w:szCs w:val="18"/>
                </w:rPr>
                <w:t>45 C</w:t>
              </w:r>
            </w:smartTag>
            <w:r w:rsidRPr="000E174E">
              <w:rPr>
                <w:b/>
                <w:sz w:val="18"/>
                <w:szCs w:val="18"/>
              </w:rPr>
              <w:t xml:space="preserve"> Mode Heart Failure Patients</w:t>
            </w:r>
            <w:bookmarkEnd w:id="0"/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>Zheng Zhenxiang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74-77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b/>
                <w:bCs/>
                <w:sz w:val="18"/>
                <w:szCs w:val="18"/>
              </w:rPr>
              <w:t>Expressions of</w:t>
            </w:r>
            <w:r w:rsidRPr="000E174E">
              <w:rPr>
                <w:rFonts w:eastAsia="黑体"/>
                <w:b/>
                <w:bCs/>
                <w:sz w:val="18"/>
                <w:szCs w:val="18"/>
              </w:rPr>
              <w:t xml:space="preserve"> level of sex hormones and their receptors</w:t>
            </w:r>
            <w:r w:rsidRPr="000E174E">
              <w:rPr>
                <w:b/>
                <w:bCs/>
                <w:sz w:val="18"/>
                <w:szCs w:val="18"/>
              </w:rPr>
              <w:t xml:space="preserve"> in </w:t>
            </w:r>
            <w:r w:rsidRPr="000E174E">
              <w:rPr>
                <w:rFonts w:eastAsia="黑体"/>
                <w:b/>
                <w:bCs/>
                <w:sz w:val="18"/>
                <w:szCs w:val="18"/>
              </w:rPr>
              <w:t xml:space="preserve">Serum </w:t>
            </w:r>
            <w:r w:rsidRPr="000E174E">
              <w:rPr>
                <w:b/>
                <w:bCs/>
                <w:sz w:val="18"/>
                <w:szCs w:val="18"/>
              </w:rPr>
              <w:t>for</w:t>
            </w:r>
            <w:r w:rsidRPr="000E174E">
              <w:rPr>
                <w:rFonts w:eastAsia="黑体"/>
                <w:b/>
                <w:bCs/>
                <w:sz w:val="18"/>
                <w:szCs w:val="18"/>
              </w:rPr>
              <w:t xml:space="preserve"> lung cancer patients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>Xiufang Chen, Shuling Wang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rFonts w:hAnsi="宋体"/>
                <w:b/>
                <w:sz w:val="18"/>
                <w:szCs w:val="18"/>
              </w:rPr>
              <w:t>78-86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Expression changes of DSCAM in induction of MSCs to differentiate into neurons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174E">
              <w:rPr>
                <w:sz w:val="18"/>
                <w:szCs w:val="18"/>
              </w:rPr>
              <w:t>T Peng, TJ Jia, JF Teng, B Zhang, GY Fang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87-91</w:t>
            </w:r>
          </w:p>
        </w:tc>
      </w:tr>
      <w:tr w:rsidR="008C678E" w:rsidRPr="000E174E" w:rsidTr="00F9721F">
        <w:trPr>
          <w:tblCellSpacing w:w="15" w:type="dxa"/>
        </w:trPr>
        <w:tc>
          <w:tcPr>
            <w:tcW w:w="577" w:type="dxa"/>
          </w:tcPr>
          <w:p w:rsidR="008C678E" w:rsidRPr="000E174E" w:rsidRDefault="008C678E" w:rsidP="008C67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174E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83" w:type="dxa"/>
            <w:vAlign w:val="center"/>
          </w:tcPr>
          <w:p w:rsidR="008C678E" w:rsidRPr="000E174E" w:rsidRDefault="008C678E" w:rsidP="00F9721F">
            <w:pPr>
              <w:jc w:val="both"/>
              <w:rPr>
                <w:sz w:val="18"/>
                <w:szCs w:val="18"/>
              </w:rPr>
            </w:pPr>
            <w:r w:rsidRPr="000E174E">
              <w:rPr>
                <w:b/>
                <w:sz w:val="18"/>
                <w:szCs w:val="18"/>
              </w:rPr>
              <w:t>1V Square-Root Domain Low-Pass Filter using Translinear Loop Technology in Biomedical Engineering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0E174E">
              <w:rPr>
                <w:rFonts w:eastAsia="DFKai-SB"/>
                <w:sz w:val="18"/>
                <w:szCs w:val="18"/>
              </w:rPr>
              <w:t>Gwo-Jeng Yu, Yu-Jen Tsao, Yu-Shian Lin</w:t>
            </w:r>
          </w:p>
          <w:p w:rsidR="008C678E" w:rsidRPr="000E174E" w:rsidRDefault="008C678E" w:rsidP="00F9721F">
            <w:pPr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8C678E" w:rsidRPr="000E174E" w:rsidRDefault="008C678E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8C678E" w:rsidRPr="000E174E" w:rsidRDefault="008C678E" w:rsidP="006944DE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E174E">
              <w:rPr>
                <w:rFonts w:hAnsi="宋体"/>
                <w:b/>
                <w:sz w:val="18"/>
                <w:szCs w:val="18"/>
              </w:rPr>
              <w:t>92-96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54" w:rsidRDefault="002C6554" w:rsidP="009A14FB">
      <w:r>
        <w:separator/>
      </w:r>
    </w:p>
  </w:endnote>
  <w:endnote w:type="continuationSeparator" w:id="1">
    <w:p w:rsidR="002C6554" w:rsidRDefault="002C655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PMingLiU"/>
    <w:charset w:val="88"/>
    <w:family w:val="script"/>
    <w:pitch w:val="fixed"/>
    <w:sig w:usb0="00000003" w:usb1="082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D9030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9721F" w:rsidRPr="00F9721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54" w:rsidRDefault="002C6554" w:rsidP="009A14FB">
      <w:r>
        <w:separator/>
      </w:r>
    </w:p>
  </w:footnote>
  <w:footnote w:type="continuationSeparator" w:id="1">
    <w:p w:rsidR="002C6554" w:rsidRDefault="002C6554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55FC"/>
    <w:rsid w:val="00082684"/>
    <w:rsid w:val="00083198"/>
    <w:rsid w:val="00092E78"/>
    <w:rsid w:val="000E0E33"/>
    <w:rsid w:val="000E174E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C6554"/>
    <w:rsid w:val="002E361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234FB"/>
    <w:rsid w:val="00524260"/>
    <w:rsid w:val="00552747"/>
    <w:rsid w:val="00573071"/>
    <w:rsid w:val="006052B6"/>
    <w:rsid w:val="00615A2B"/>
    <w:rsid w:val="00634E5D"/>
    <w:rsid w:val="00651B37"/>
    <w:rsid w:val="006944DE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C678E"/>
    <w:rsid w:val="008E0C81"/>
    <w:rsid w:val="00916260"/>
    <w:rsid w:val="009330BF"/>
    <w:rsid w:val="0097662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321F6"/>
    <w:rsid w:val="00C46B73"/>
    <w:rsid w:val="00C75EA1"/>
    <w:rsid w:val="00D22A78"/>
    <w:rsid w:val="00D9030C"/>
    <w:rsid w:val="00DC5C93"/>
    <w:rsid w:val="00DD6664"/>
    <w:rsid w:val="00E54245"/>
    <w:rsid w:val="00E711E2"/>
    <w:rsid w:val="00E76183"/>
    <w:rsid w:val="00F007AA"/>
    <w:rsid w:val="00F83375"/>
    <w:rsid w:val="00F961AC"/>
    <w:rsid w:val="00F9721F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1788</Characters>
  <Application>Microsoft Office Word</Application>
  <DocSecurity>0</DocSecurity>
  <Lines>14</Lines>
  <Paragraphs>4</Paragraphs>
  <ScaleCrop>false</ScaleCrop>
  <Company>微软中国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2013-02-14T08:37:00Z</dcterms:created>
  <dcterms:modified xsi:type="dcterms:W3CDTF">2013-02-15T11:30:00Z</dcterms:modified>
</cp:coreProperties>
</file>